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bCs/>
          <w:kern w:val="0"/>
          <w:sz w:val="36"/>
          <w:szCs w:val="36"/>
        </w:rPr>
      </w:pPr>
    </w:p>
    <w:p>
      <w:pPr>
        <w:jc w:val="center"/>
        <w:rPr>
          <w:rFonts w:hint="eastAsia"/>
          <w:b/>
          <w:bCs/>
          <w:kern w:val="0"/>
          <w:sz w:val="36"/>
          <w:szCs w:val="36"/>
        </w:rPr>
      </w:pPr>
    </w:p>
    <w:p>
      <w:pPr>
        <w:jc w:val="center"/>
        <w:rPr>
          <w:sz w:val="72"/>
          <w:szCs w:val="44"/>
        </w:rPr>
      </w:pPr>
      <w:r>
        <w:rPr>
          <w:rFonts w:hint="eastAsia"/>
          <w:b/>
          <w:bCs/>
          <w:kern w:val="0"/>
          <w:sz w:val="72"/>
          <w:szCs w:val="44"/>
        </w:rPr>
        <w:t>岷山环能高科股份公司</w:t>
      </w:r>
    </w:p>
    <w:p>
      <w:pPr>
        <w:widowControl/>
        <w:spacing w:before="150" w:after="150"/>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MINSHAN  ENVIRONMENTAL ENERGY HIGH TECH CO., LTD.</w:t>
      </w:r>
    </w:p>
    <w:p>
      <w:pPr>
        <w:widowControl/>
        <w:spacing w:after="150"/>
        <w:jc w:val="both"/>
        <w:outlineLvl w:val="1"/>
        <w:rPr>
          <w:rFonts w:hint="eastAsia" w:ascii="黑体" w:hAnsi="黑体" w:eastAsia="黑体" w:cs="黑体"/>
          <w:b/>
          <w:bCs/>
          <w:sz w:val="44"/>
          <w:szCs w:val="44"/>
        </w:rPr>
      </w:pPr>
    </w:p>
    <w:p>
      <w:pPr>
        <w:widowControl/>
        <w:spacing w:after="150"/>
        <w:jc w:val="center"/>
        <w:outlineLvl w:val="1"/>
        <w:rPr>
          <w:rFonts w:hint="eastAsia" w:ascii="黑体" w:hAnsi="黑体" w:eastAsia="黑体" w:cs="黑体"/>
          <w:b/>
          <w:bCs/>
          <w:sz w:val="52"/>
          <w:szCs w:val="44"/>
        </w:rPr>
      </w:pPr>
      <w:r>
        <w:rPr>
          <w:rFonts w:hint="eastAsia" w:ascii="黑体" w:hAnsi="黑体" w:eastAsia="黑体" w:cs="黑体"/>
          <w:b/>
          <w:bCs/>
          <w:sz w:val="52"/>
          <w:szCs w:val="44"/>
        </w:rPr>
        <w:t>风险减缓管理办法</w:t>
      </w:r>
    </w:p>
    <w:p>
      <w:pPr>
        <w:jc w:val="center"/>
        <w:rPr>
          <w:rFonts w:hint="eastAsia" w:ascii="宋体" w:hAnsi="宋体" w:eastAsia="宋体" w:cs="宋体"/>
          <w:sz w:val="24"/>
          <w:szCs w:val="24"/>
        </w:rPr>
      </w:pPr>
      <w:r>
        <w:rPr>
          <w:rFonts w:hint="eastAsia" w:ascii="宋体" w:hAnsi="宋体" w:eastAsia="宋体" w:cs="宋体"/>
          <w:sz w:val="24"/>
          <w:szCs w:val="24"/>
        </w:rPr>
        <w:t>Risk mitigation management measures</w:t>
      </w:r>
    </w:p>
    <w:p>
      <w:pPr>
        <w:widowControl/>
        <w:spacing w:before="150" w:after="150"/>
        <w:jc w:val="both"/>
        <w:rPr>
          <w:rFonts w:hint="eastAsia" w:ascii="宋体" w:hAnsi="宋体" w:eastAsia="宋体" w:cs="宋体"/>
          <w:b w:val="0"/>
          <w:bCs w:val="0"/>
          <w:color w:val="auto"/>
          <w:kern w:val="0"/>
          <w:sz w:val="21"/>
          <w:szCs w:val="21"/>
          <w:lang w:val="en-US" w:eastAsia="zh-CN"/>
        </w:rPr>
      </w:pPr>
    </w:p>
    <w:p>
      <w:pPr>
        <w:widowControl/>
        <w:spacing w:before="150" w:after="150"/>
        <w:jc w:val="both"/>
        <w:rPr>
          <w:rFonts w:hint="eastAsia" w:ascii="宋体" w:hAnsi="宋体" w:eastAsia="宋体" w:cs="宋体"/>
          <w:b w:val="0"/>
          <w:bCs w:val="0"/>
          <w:color w:val="auto"/>
          <w:kern w:val="0"/>
          <w:sz w:val="21"/>
          <w:szCs w:val="21"/>
          <w:lang w:val="en-US" w:eastAsia="zh-CN"/>
        </w:rPr>
      </w:pPr>
    </w:p>
    <w:p>
      <w:pPr>
        <w:spacing w:line="720" w:lineRule="auto"/>
        <w:ind w:firstLine="1995" w:firstLineChars="950"/>
        <w:rPr>
          <w:rFonts w:hint="eastAsia"/>
          <w:b/>
          <w:sz w:val="30"/>
          <w:szCs w:val="30"/>
        </w:rPr>
      </w:pPr>
      <w:r>
        <w:rPr>
          <w:szCs w:val="24"/>
        </w:rPr>
        <w:pict>
          <v:line id="_x0000_s1026" o:spid="_x0000_s1026" o:spt="20" style="position:absolute;left:0pt;margin-left:135.75pt;margin-top:31.2pt;height:0pt;width:90pt;z-index:251659264;mso-width-relative:page;mso-height-relative:page;" coordsize="21600,21600">
            <v:path arrowok="t"/>
            <v:fill focussize="0,0"/>
            <v:stroke/>
            <v:imagedata o:title=""/>
            <o:lock v:ext="edit"/>
          </v:line>
        </w:pict>
      </w:r>
      <w:r>
        <w:rPr>
          <w:rFonts w:hint="eastAsia"/>
          <w:b/>
          <w:sz w:val="30"/>
          <w:szCs w:val="30"/>
        </w:rPr>
        <w:t>编制：张敏睿</w:t>
      </w:r>
    </w:p>
    <w:p>
      <w:pPr>
        <w:ind w:firstLine="1920" w:firstLineChars="800"/>
        <w:jc w:val="both"/>
        <w:rPr>
          <w:rFonts w:hint="eastAsia"/>
          <w:b/>
          <w:sz w:val="30"/>
          <w:szCs w:val="30"/>
        </w:rPr>
      </w:pPr>
      <w:r>
        <w:rPr>
          <w:rFonts w:hint="eastAsia" w:ascii="宋体" w:hAnsi="宋体" w:eastAsia="宋体" w:cs="宋体"/>
          <w:kern w:val="0"/>
          <w:sz w:val="24"/>
          <w:szCs w:val="24"/>
          <w:lang w:val="en-US" w:eastAsia="zh-CN" w:bidi="ar"/>
        </w:rPr>
        <w:t>Compiled by: Zhang Minrui</w:t>
      </w:r>
    </w:p>
    <w:p>
      <w:pPr>
        <w:spacing w:line="720" w:lineRule="auto"/>
        <w:ind w:firstLine="1995" w:firstLineChars="950"/>
        <w:rPr>
          <w:rFonts w:hint="eastAsia"/>
          <w:b/>
          <w:sz w:val="30"/>
          <w:szCs w:val="30"/>
        </w:rPr>
      </w:pPr>
      <w:r>
        <w:rPr>
          <w:szCs w:val="24"/>
        </w:rPr>
        <w:pict>
          <v:line id="_x0000_s1028" o:spid="_x0000_s1028" o:spt="20" style="position:absolute;left:0pt;margin-left:136.5pt;margin-top:31.2pt;height:0pt;width:90pt;z-index:251660288;mso-width-relative:page;mso-height-relative:page;" coordsize="21600,21600">
            <v:path arrowok="t"/>
            <v:fill focussize="0,0"/>
            <v:stroke/>
            <v:imagedata o:title=""/>
            <o:lock v:ext="edit"/>
          </v:line>
        </w:pict>
      </w:r>
      <w:r>
        <w:rPr>
          <w:rFonts w:hint="eastAsia"/>
          <w:b/>
          <w:sz w:val="30"/>
          <w:szCs w:val="30"/>
        </w:rPr>
        <w:t>审核：王军</w:t>
      </w:r>
    </w:p>
    <w:p>
      <w:pPr>
        <w:ind w:firstLine="1920" w:firstLineChars="800"/>
        <w:rPr>
          <w:rFonts w:hint="eastAsia"/>
          <w:b/>
          <w:sz w:val="30"/>
          <w:szCs w:val="30"/>
        </w:rPr>
      </w:pPr>
      <w:r>
        <w:rPr>
          <w:rFonts w:hint="eastAsia" w:ascii="宋体" w:hAnsi="宋体" w:eastAsia="宋体" w:cs="宋体"/>
          <w:kern w:val="0"/>
          <w:sz w:val="24"/>
          <w:szCs w:val="24"/>
          <w:lang w:val="en-US" w:eastAsia="zh-CN" w:bidi="ar"/>
        </w:rPr>
        <w:t xml:space="preserve">Reviewed by: Wang Jun </w:t>
      </w:r>
    </w:p>
    <w:p>
      <w:pPr>
        <w:spacing w:line="720" w:lineRule="auto"/>
        <w:ind w:firstLine="1995" w:firstLineChars="950"/>
        <w:rPr>
          <w:rFonts w:hint="eastAsia"/>
          <w:b/>
          <w:sz w:val="30"/>
          <w:szCs w:val="30"/>
        </w:rPr>
      </w:pPr>
      <w:r>
        <w:rPr>
          <w:szCs w:val="24"/>
        </w:rPr>
        <w:pict>
          <v:line id="_x0000_s1029" o:spid="_x0000_s1029" o:spt="20" style="position:absolute;left:0pt;margin-left:136.5pt;margin-top:31.2pt;height:0pt;width:90pt;z-index:251660288;mso-width-relative:page;mso-height-relative:page;" coordsize="21600,21600">
            <v:path arrowok="t"/>
            <v:fill focussize="0,0"/>
            <v:stroke/>
            <v:imagedata o:title=""/>
            <o:lock v:ext="edit"/>
          </v:line>
        </w:pict>
      </w:r>
      <w:r>
        <w:rPr>
          <w:rFonts w:hint="eastAsia"/>
          <w:b/>
          <w:sz w:val="30"/>
          <w:szCs w:val="30"/>
        </w:rPr>
        <w:t>批准</w:t>
      </w:r>
      <w:r>
        <w:rPr>
          <w:rFonts w:hint="eastAsia"/>
          <w:sz w:val="30"/>
          <w:szCs w:val="30"/>
        </w:rPr>
        <w:t>：</w:t>
      </w:r>
      <w:r>
        <w:rPr>
          <w:rFonts w:hint="eastAsia"/>
          <w:b/>
          <w:sz w:val="30"/>
          <w:szCs w:val="30"/>
        </w:rPr>
        <w:t>陈嫣伟</w:t>
      </w:r>
    </w:p>
    <w:p>
      <w:pPr>
        <w:ind w:firstLine="1920" w:firstLineChars="800"/>
        <w:rPr>
          <w:rFonts w:hint="eastAsia"/>
          <w:b/>
          <w:sz w:val="30"/>
          <w:szCs w:val="30"/>
        </w:rPr>
      </w:pPr>
      <w:r>
        <w:rPr>
          <w:rFonts w:hint="eastAsia" w:ascii="宋体" w:hAnsi="宋体" w:eastAsia="宋体" w:cs="宋体"/>
          <w:kern w:val="0"/>
          <w:sz w:val="24"/>
          <w:szCs w:val="24"/>
          <w:lang w:val="en-US" w:eastAsia="zh-CN" w:bidi="ar"/>
        </w:rPr>
        <w:t xml:space="preserve">Approved by: Chen Yanwei </w:t>
      </w:r>
    </w:p>
    <w:p>
      <w:pPr>
        <w:spacing w:line="720" w:lineRule="auto"/>
        <w:ind w:firstLine="1946" w:firstLineChars="646"/>
        <w:rPr>
          <w:rFonts w:hint="eastAsia"/>
          <w:sz w:val="32"/>
          <w:szCs w:val="32"/>
          <w:u w:val="single"/>
        </w:rPr>
      </w:pPr>
      <w:r>
        <w:rPr>
          <w:rFonts w:hint="eastAsia"/>
          <w:b/>
          <w:sz w:val="30"/>
          <w:szCs w:val="30"/>
        </w:rPr>
        <w:t>生效日期</w:t>
      </w:r>
      <w:r>
        <w:rPr>
          <w:b/>
          <w:sz w:val="30"/>
          <w:szCs w:val="30"/>
        </w:rPr>
        <w:t>:</w:t>
      </w:r>
      <w:r>
        <w:rPr>
          <w:rFonts w:hint="eastAsia"/>
          <w:sz w:val="32"/>
          <w:szCs w:val="32"/>
          <w:u w:val="single"/>
        </w:rPr>
        <w:t>2024-3-11</w:t>
      </w:r>
    </w:p>
    <w:p>
      <w:pPr>
        <w:ind w:firstLine="1920" w:firstLineChars="800"/>
        <w:rPr>
          <w:rFonts w:hint="eastAsia"/>
          <w:b/>
          <w:sz w:val="30"/>
          <w:szCs w:val="30"/>
        </w:rPr>
      </w:pPr>
      <w:r>
        <w:rPr>
          <w:rFonts w:hint="eastAsia" w:ascii="宋体" w:hAnsi="宋体" w:eastAsia="宋体" w:cs="宋体"/>
          <w:kern w:val="0"/>
          <w:sz w:val="24"/>
          <w:szCs w:val="24"/>
          <w:lang w:val="en-US" w:eastAsia="zh-CN" w:bidi="ar"/>
        </w:rPr>
        <w:t>Effective date: March 11, 2024</w:t>
      </w:r>
    </w:p>
    <w:p>
      <w:pPr>
        <w:spacing w:line="720" w:lineRule="auto"/>
        <w:ind w:firstLine="2067" w:firstLineChars="646"/>
        <w:rPr>
          <w:rFonts w:hint="eastAsia"/>
          <w:sz w:val="32"/>
          <w:szCs w:val="32"/>
          <w:u w:val="single"/>
        </w:rPr>
      </w:pPr>
    </w:p>
    <w:p>
      <w:pPr>
        <w:widowControl/>
        <w:jc w:val="left"/>
        <w:rPr>
          <w:szCs w:val="24"/>
        </w:rPr>
      </w:pPr>
      <w:r>
        <w:rPr>
          <w:szCs w:val="24"/>
        </w:rPr>
        <w:br w:type="page"/>
      </w:r>
    </w:p>
    <w:p>
      <w:pPr>
        <w:spacing w:line="360" w:lineRule="auto"/>
        <w:jc w:val="center"/>
        <w:rPr>
          <w:rFonts w:cs="黑体" w:asciiTheme="minorEastAsia" w:hAnsiTheme="minorEastAsia"/>
          <w:b/>
          <w:sz w:val="28"/>
          <w:szCs w:val="32"/>
        </w:rPr>
      </w:pPr>
      <w:r>
        <w:rPr>
          <w:rFonts w:hint="eastAsia" w:cs="黑体" w:asciiTheme="minorEastAsia" w:hAnsiTheme="minorEastAsia"/>
          <w:b/>
          <w:sz w:val="28"/>
          <w:szCs w:val="32"/>
        </w:rPr>
        <w:t>第一章总则</w:t>
      </w:r>
    </w:p>
    <w:p>
      <w:pPr>
        <w:spacing w:line="360" w:lineRule="auto"/>
        <w:ind w:firstLine="482" w:firstLineChars="200"/>
        <w:rPr>
          <w:rFonts w:cs="仿宋" w:asciiTheme="minorEastAsia" w:hAnsiTheme="minorEastAsia"/>
          <w:sz w:val="24"/>
          <w:szCs w:val="32"/>
        </w:rPr>
      </w:pPr>
      <w:r>
        <w:rPr>
          <w:rFonts w:hint="eastAsia" w:cs="仿宋" w:asciiTheme="minorEastAsia" w:hAnsiTheme="minorEastAsia"/>
          <w:b/>
          <w:bCs/>
          <w:sz w:val="24"/>
          <w:szCs w:val="32"/>
        </w:rPr>
        <w:t>第一条</w:t>
      </w:r>
      <w:r>
        <w:rPr>
          <w:rFonts w:hint="eastAsia" w:cs="仿宋" w:asciiTheme="minorEastAsia" w:hAnsiTheme="minorEastAsia"/>
          <w:sz w:val="24"/>
          <w:szCs w:val="32"/>
        </w:rPr>
        <w:t>为了严格遵守国家关于职工权利、环境保护、公平交易等各项法律法规，积极参与供应链尽职调查工作，以确保原料来源的合法性。根据《LBMA负责任的白银指南》要求，特制定本办法。</w:t>
      </w:r>
    </w:p>
    <w:p>
      <w:pPr>
        <w:spacing w:line="360" w:lineRule="auto"/>
        <w:ind w:firstLine="482" w:firstLineChars="200"/>
        <w:rPr>
          <w:rFonts w:cs="仿宋" w:asciiTheme="minorEastAsia" w:hAnsiTheme="minorEastAsia"/>
          <w:sz w:val="24"/>
          <w:szCs w:val="32"/>
        </w:rPr>
      </w:pPr>
      <w:r>
        <w:rPr>
          <w:rFonts w:hint="eastAsia" w:cs="仿宋" w:asciiTheme="minorEastAsia" w:hAnsiTheme="minorEastAsia"/>
          <w:b/>
          <w:bCs/>
          <w:sz w:val="24"/>
          <w:szCs w:val="32"/>
        </w:rPr>
        <w:t>第二条</w:t>
      </w:r>
      <w:r>
        <w:rPr>
          <w:rFonts w:hint="eastAsia" w:cs="仿宋" w:asciiTheme="minorEastAsia" w:hAnsiTheme="minorEastAsia"/>
          <w:sz w:val="24"/>
          <w:szCs w:val="32"/>
        </w:rPr>
        <w:t>本办法适用于公司根据供应链尽职调查管理办法已识别的所有风险。本办法所涉及原料来源包括矿产银、再生银及生产的各种形式的库存白银。</w:t>
      </w:r>
    </w:p>
    <w:p>
      <w:pPr>
        <w:spacing w:line="360" w:lineRule="auto"/>
        <w:ind w:firstLine="482" w:firstLineChars="200"/>
        <w:rPr>
          <w:rFonts w:hint="eastAsia" w:cs="仿宋" w:asciiTheme="minorEastAsia" w:hAnsiTheme="minorEastAsia"/>
          <w:sz w:val="24"/>
          <w:szCs w:val="32"/>
        </w:rPr>
      </w:pPr>
      <w:r>
        <w:rPr>
          <w:rFonts w:hint="eastAsia" w:cs="仿宋" w:asciiTheme="minorEastAsia" w:hAnsiTheme="minorEastAsia"/>
          <w:b/>
          <w:bCs/>
          <w:sz w:val="24"/>
          <w:szCs w:val="32"/>
        </w:rPr>
        <w:t>第三条</w:t>
      </w:r>
      <w:r>
        <w:rPr>
          <w:rFonts w:hint="eastAsia" w:cs="仿宋" w:asciiTheme="minorEastAsia" w:hAnsiTheme="minorEastAsia"/>
          <w:sz w:val="24"/>
          <w:szCs w:val="32"/>
        </w:rPr>
        <w:t>本办法中涉及的术语和定义均采用《伦敦金银市场协会（LBMA）责任白银指南》所描述的内容。</w:t>
      </w:r>
    </w:p>
    <w:p>
      <w:pPr>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Chapter 1 general provisions</w:t>
      </w:r>
    </w:p>
    <w:p>
      <w:pPr>
        <w:ind w:firstLine="482" w:firstLineChars="200"/>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Article 1</w:t>
      </w:r>
      <w:r>
        <w:rPr>
          <w:rFonts w:hint="eastAsia" w:ascii="宋体" w:hAnsi="宋体" w:eastAsia="宋体" w:cs="宋体"/>
          <w:kern w:val="0"/>
          <w:sz w:val="24"/>
          <w:szCs w:val="24"/>
          <w:lang w:val="en-US" w:eastAsia="zh-CN" w:bidi="ar"/>
        </w:rPr>
        <w:t xml:space="preserve">: In order to strictly abide by various national laws and regulations on employee rights, environmental protection, fair trade, etc., actively participate in supply chain due diligence work, and ensure the legality of raw material sources. According to the requirements of the LBMA Responsible Silver Guidelines, this method is specially formulated. </w:t>
      </w:r>
    </w:p>
    <w:p>
      <w:pPr>
        <w:ind w:firstLine="482" w:firstLineChars="200"/>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Article 2</w:t>
      </w:r>
      <w:r>
        <w:rPr>
          <w:rFonts w:hint="eastAsia" w:ascii="宋体" w:hAnsi="宋体" w:eastAsia="宋体" w:cs="宋体"/>
          <w:kern w:val="0"/>
          <w:sz w:val="24"/>
          <w:szCs w:val="24"/>
          <w:lang w:val="en-US" w:eastAsia="zh-CN" w:bidi="ar"/>
        </w:rPr>
        <w:t xml:space="preserve">: These measures apply to all risks identified by the company in accordance with the supply chain due diligence management measures. The raw material sources involved in this method include mineral silver, recycled silver, and various forms of inventory silver produced. </w:t>
      </w:r>
    </w:p>
    <w:p>
      <w:pPr>
        <w:ind w:firstLine="482" w:firstLineChars="200"/>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Article 3</w:t>
      </w:r>
      <w:r>
        <w:rPr>
          <w:rFonts w:hint="eastAsia" w:ascii="宋体" w:hAnsi="宋体" w:eastAsia="宋体" w:cs="宋体"/>
          <w:kern w:val="0"/>
          <w:sz w:val="24"/>
          <w:szCs w:val="24"/>
          <w:lang w:val="en-US" w:eastAsia="zh-CN" w:bidi="ar"/>
        </w:rPr>
        <w:t>: The terms and definitions referred to in these Measures shall adopt the content described in the London Bullion and Silver Market Association (LBMA) Responsible Silver Guidelines.</w:t>
      </w:r>
    </w:p>
    <w:p>
      <w:pPr>
        <w:spacing w:line="360" w:lineRule="auto"/>
        <w:ind w:firstLine="480" w:firstLineChars="200"/>
        <w:rPr>
          <w:rFonts w:hint="eastAsia" w:cs="仿宋" w:asciiTheme="minorEastAsia" w:hAnsiTheme="minorEastAsia"/>
          <w:sz w:val="24"/>
          <w:szCs w:val="32"/>
        </w:rPr>
      </w:pPr>
    </w:p>
    <w:p>
      <w:pPr>
        <w:spacing w:line="360" w:lineRule="auto"/>
        <w:jc w:val="center"/>
        <w:rPr>
          <w:rFonts w:cs="黑体" w:asciiTheme="minorEastAsia" w:hAnsiTheme="minorEastAsia"/>
          <w:sz w:val="28"/>
          <w:szCs w:val="32"/>
        </w:rPr>
      </w:pPr>
      <w:r>
        <w:rPr>
          <w:rFonts w:hint="eastAsia" w:cs="黑体" w:asciiTheme="minorEastAsia" w:hAnsiTheme="minorEastAsia"/>
          <w:b/>
          <w:sz w:val="28"/>
          <w:szCs w:val="32"/>
        </w:rPr>
        <w:t>第二章风险减缓策</w:t>
      </w:r>
      <w:r>
        <w:rPr>
          <w:rFonts w:hint="eastAsia" w:cs="黑体" w:asciiTheme="minorEastAsia" w:hAnsiTheme="minorEastAsia"/>
          <w:sz w:val="28"/>
          <w:szCs w:val="32"/>
        </w:rPr>
        <w:t>略</w:t>
      </w:r>
    </w:p>
    <w:p>
      <w:pPr>
        <w:spacing w:line="360" w:lineRule="auto"/>
        <w:ind w:firstLine="482" w:firstLineChars="200"/>
        <w:rPr>
          <w:rFonts w:cs="仿宋" w:asciiTheme="minorEastAsia" w:hAnsiTheme="minorEastAsia"/>
          <w:sz w:val="24"/>
          <w:szCs w:val="32"/>
        </w:rPr>
      </w:pPr>
      <w:r>
        <w:rPr>
          <w:rFonts w:hint="eastAsia" w:cs="仿宋" w:asciiTheme="minorEastAsia" w:hAnsiTheme="minorEastAsia"/>
          <w:b/>
          <w:bCs/>
          <w:sz w:val="24"/>
          <w:szCs w:val="32"/>
        </w:rPr>
        <w:t>第四条风险汇报流程：</w:t>
      </w:r>
      <w:r>
        <w:rPr>
          <w:rFonts w:hint="eastAsia" w:cs="仿宋" w:asciiTheme="minorEastAsia" w:hAnsiTheme="minorEastAsia"/>
          <w:sz w:val="24"/>
          <w:szCs w:val="32"/>
        </w:rPr>
        <w:t>所有供应链尽职调查过程中收集的信息以及评估识别的实际以及潜在风险需上报合规风险专员，再由合规风险专员整理并计划风险减缓策略后上报合规总监。</w:t>
      </w:r>
    </w:p>
    <w:p>
      <w:pPr>
        <w:spacing w:line="360" w:lineRule="auto"/>
        <w:ind w:firstLine="482" w:firstLineChars="200"/>
        <w:rPr>
          <w:rFonts w:cs="仿宋" w:asciiTheme="minorEastAsia" w:hAnsiTheme="minorEastAsia"/>
          <w:sz w:val="24"/>
          <w:szCs w:val="24"/>
        </w:rPr>
      </w:pPr>
      <w:r>
        <w:rPr>
          <w:rFonts w:hint="eastAsia" w:cs="仿宋" w:asciiTheme="minorEastAsia" w:hAnsiTheme="minorEastAsia"/>
          <w:b/>
          <w:bCs/>
          <w:sz w:val="24"/>
          <w:szCs w:val="24"/>
        </w:rPr>
        <w:t>第五条风险缓解策略：</w:t>
      </w:r>
      <w:r>
        <w:rPr>
          <w:rFonts w:hint="eastAsia" w:cs="仿宋" w:asciiTheme="minorEastAsia" w:hAnsiTheme="minorEastAsia"/>
          <w:sz w:val="24"/>
          <w:szCs w:val="24"/>
        </w:rPr>
        <w:t>供应链尽职调查结果得出以下结论，则需立即停止该交易并上报至有关人员：</w:t>
      </w:r>
    </w:p>
    <w:p>
      <w:pPr>
        <w:spacing w:line="360" w:lineRule="auto"/>
        <w:ind w:firstLine="480" w:firstLineChars="200"/>
        <w:rPr>
          <w:rFonts w:hint="eastAsia" w:cs="仿宋" w:asciiTheme="minorEastAsia" w:hAnsiTheme="minorEastAsia"/>
          <w:sz w:val="24"/>
          <w:szCs w:val="24"/>
        </w:rPr>
      </w:pPr>
      <w:bookmarkStart w:id="0" w:name="OLE_LINK1"/>
      <w:bookmarkStart w:id="1" w:name="OLE_LINK2"/>
      <w:r>
        <w:rPr>
          <w:rFonts w:hint="eastAsia" w:cs="仿宋" w:asciiTheme="minorEastAsia" w:hAnsiTheme="minorEastAsia"/>
          <w:sz w:val="24"/>
          <w:szCs w:val="24"/>
        </w:rPr>
        <w:t>1.存在有关矿产银、再生银提取、运输或贸易的系统性或广泛人权侵犯行为，包括最严重的使用童工、酷刑、非人道以及侮辱人格对待方式、广泛的性暴力或其他严重反人权强迫或强制劳动、战争罪、反人类罪或种族灭绝罪；</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2.存在向非法的非政府武装组织提供直接或间接支持；</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3.存在</w:t>
      </w:r>
      <w:r>
        <w:rPr>
          <w:rFonts w:hint="eastAsia" w:cs="仿宋" w:asciiTheme="minorEastAsia" w:hAnsiTheme="minorEastAsia"/>
          <w:color w:val="000000"/>
          <w:kern w:val="0"/>
          <w:sz w:val="24"/>
          <w:szCs w:val="24"/>
        </w:rPr>
        <w:t>非法征税或进行勒索的公共或私人安全武装提供直接或间接支持</w:t>
      </w:r>
      <w:r>
        <w:rPr>
          <w:rFonts w:hint="eastAsia" w:cs="仿宋" w:asciiTheme="minorEastAsia" w:hAnsiTheme="minorEastAsia"/>
          <w:sz w:val="24"/>
          <w:szCs w:val="24"/>
        </w:rPr>
        <w:t>；</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4.存在通过欺诈掩盖矿产银、再生银的原产地；</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5.存在洗钱或恐怖主义融资；</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6.国内手续不全、非法开采的小型矿山以及开采银来源于手工开采；</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color w:val="000000"/>
          <w:kern w:val="0"/>
          <w:sz w:val="24"/>
          <w:szCs w:val="24"/>
        </w:rPr>
        <w:t>7.存在行贿受贿及矿产原产地的欺诈性失实陈述</w:t>
      </w:r>
      <w:r>
        <w:rPr>
          <w:rFonts w:hint="eastAsia" w:cs="仿宋" w:asciiTheme="minorEastAsia" w:hAnsiTheme="minorEastAsia"/>
          <w:sz w:val="24"/>
          <w:szCs w:val="24"/>
        </w:rPr>
        <w:t>；</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8.不遵守环境和可持续发展法律要求，开采银源于世界遗产遗址或国内生态自然保护区；</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color w:val="333333"/>
          <w:kern w:val="0"/>
          <w:sz w:val="24"/>
          <w:szCs w:val="24"/>
        </w:rPr>
        <w:t>9.存在矿产资源开发过程中引起的土壤侵蚀、水土流失、土地沙漠化;地面开裂、沉降、塌陷，山体崩塌、滑坡、泥石流等地质灾害;</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color w:val="333333"/>
          <w:kern w:val="0"/>
          <w:sz w:val="24"/>
          <w:szCs w:val="24"/>
        </w:rPr>
        <w:t>10.存在废渣、废水、废气排放对水体、土壤、空气的污染;对野生动植物资源和自然地质地貌景观的破坏、危及公民健康和财产损害；</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11.存在以上11种事项可能性较高的情况。</w:t>
      </w:r>
    </w:p>
    <w:bookmarkEnd w:id="0"/>
    <w:bookmarkEnd w:id="1"/>
    <w:p>
      <w:pPr>
        <w:spacing w:line="360" w:lineRule="auto"/>
        <w:ind w:firstLine="482" w:firstLineChars="200"/>
        <w:rPr>
          <w:rFonts w:hint="eastAsia" w:cs="仿宋" w:asciiTheme="minorEastAsia" w:hAnsiTheme="minorEastAsia"/>
          <w:sz w:val="24"/>
          <w:szCs w:val="24"/>
        </w:rPr>
      </w:pPr>
      <w:r>
        <w:rPr>
          <w:rFonts w:hint="eastAsia" w:cs="仿宋" w:asciiTheme="minorEastAsia" w:hAnsiTheme="minorEastAsia"/>
          <w:b/>
          <w:bCs/>
          <w:sz w:val="24"/>
          <w:szCs w:val="24"/>
        </w:rPr>
        <w:t>第六条：</w:t>
      </w:r>
      <w:r>
        <w:rPr>
          <w:rFonts w:hint="eastAsia" w:cs="仿宋" w:asciiTheme="minorEastAsia" w:hAnsiTheme="minorEastAsia"/>
          <w:sz w:val="24"/>
          <w:szCs w:val="24"/>
        </w:rPr>
        <w:t>供应链尽职调查结果得出以下结论，则需立即暂停该矿产银、再生银的冶炼，直至供应商在6个月之内提供可证明其并不可能存在以下事项的额外数据或信息为止。若在6个月之内仍未提供相关证据，则需立即停止该交易并上报至有关人员：</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1.可能存在有关矿产银、再生银提取、运输或贸易的系统性或广泛人权侵犯行为，包括最严重的使用童工、酷刑、非人道以及侮辱人格对待方式、广泛的性暴力或其他严重反人权强迫劳动、战争罪、反人类罪或种族灭绝罪；</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2.可能存在向非法的非政府武装组织提供直接或间接支持；</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3.存在</w:t>
      </w:r>
      <w:r>
        <w:rPr>
          <w:rFonts w:hint="eastAsia" w:cs="仿宋" w:asciiTheme="minorEastAsia" w:hAnsiTheme="minorEastAsia"/>
          <w:color w:val="000000"/>
          <w:kern w:val="0"/>
          <w:sz w:val="24"/>
          <w:szCs w:val="24"/>
        </w:rPr>
        <w:t>非法征税或进行勒索的公共或私人安全武装提供直接或间接支持</w:t>
      </w:r>
      <w:r>
        <w:rPr>
          <w:rFonts w:hint="eastAsia" w:cs="仿宋" w:asciiTheme="minorEastAsia" w:hAnsiTheme="minorEastAsia"/>
          <w:sz w:val="24"/>
          <w:szCs w:val="24"/>
        </w:rPr>
        <w:t>；</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4.可能存在通过欺诈掩盖矿产银、再生银的原产地；</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5.可能存在洗钱或恐怖主义融资；</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6.可能国内手续不全、非法开采的小型矿山以及开采银源于手工开采；</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color w:val="000000"/>
          <w:kern w:val="0"/>
          <w:sz w:val="24"/>
          <w:szCs w:val="24"/>
        </w:rPr>
        <w:t>7.存在行贿受贿及矿产原产地的欺诈性失实陈述</w:t>
      </w:r>
      <w:r>
        <w:rPr>
          <w:rFonts w:hint="eastAsia" w:cs="仿宋" w:asciiTheme="minorEastAsia" w:hAnsiTheme="minorEastAsia"/>
          <w:sz w:val="24"/>
          <w:szCs w:val="24"/>
        </w:rPr>
        <w:t>；</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8.可能不遵守环境和可持续发展法律要求，开采银源于世界遗产遗址或国内生态自然保护区；</w:t>
      </w:r>
    </w:p>
    <w:p>
      <w:pPr>
        <w:spacing w:line="360" w:lineRule="auto"/>
        <w:ind w:firstLine="480" w:firstLineChars="200"/>
        <w:rPr>
          <w:rFonts w:cs="仿宋" w:asciiTheme="minorEastAsia" w:hAnsiTheme="minorEastAsia"/>
          <w:color w:val="333333"/>
          <w:kern w:val="0"/>
          <w:sz w:val="24"/>
          <w:szCs w:val="24"/>
        </w:rPr>
      </w:pPr>
      <w:r>
        <w:rPr>
          <w:rFonts w:hint="eastAsia" w:cs="仿宋" w:asciiTheme="minorEastAsia" w:hAnsiTheme="minorEastAsia"/>
          <w:color w:val="333333"/>
          <w:kern w:val="0"/>
          <w:sz w:val="24"/>
          <w:szCs w:val="24"/>
        </w:rPr>
        <w:t>9.存在矿产资源开发过程中引起的土壤侵蚀、水土流失、土地沙漠化;地面开裂、沉降、塌陷，山体崩塌、滑坡、泥石流等地质灾害;</w:t>
      </w:r>
    </w:p>
    <w:p>
      <w:pPr>
        <w:spacing w:line="360" w:lineRule="auto"/>
        <w:ind w:firstLine="480" w:firstLineChars="200"/>
        <w:rPr>
          <w:rFonts w:cs="仿宋" w:asciiTheme="minorEastAsia" w:hAnsiTheme="minorEastAsia"/>
          <w:color w:val="333333"/>
          <w:kern w:val="0"/>
          <w:sz w:val="24"/>
          <w:szCs w:val="24"/>
        </w:rPr>
      </w:pPr>
      <w:r>
        <w:rPr>
          <w:rFonts w:hint="eastAsia" w:cs="仿宋" w:asciiTheme="minorEastAsia" w:hAnsiTheme="minorEastAsia"/>
          <w:color w:val="333333"/>
          <w:kern w:val="0"/>
          <w:sz w:val="24"/>
          <w:szCs w:val="24"/>
        </w:rPr>
        <w:t>10.存在废渣、废水、废气排放对水体、土壤、空气的污染;对野生动植物资源和自然地质地貌景观的破坏、危及公民健康和财产损害；</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11.存在以上11种事项可能性较高的情况。</w:t>
      </w:r>
    </w:p>
    <w:p>
      <w:pPr>
        <w:spacing w:line="360" w:lineRule="auto"/>
        <w:ind w:firstLine="482" w:firstLineChars="200"/>
        <w:rPr>
          <w:rFonts w:hint="eastAsia" w:cs="仿宋" w:asciiTheme="minorEastAsia" w:hAnsiTheme="minorEastAsia"/>
          <w:sz w:val="24"/>
          <w:szCs w:val="24"/>
        </w:rPr>
      </w:pPr>
      <w:r>
        <w:rPr>
          <w:rFonts w:hint="eastAsia" w:cs="仿宋" w:asciiTheme="minorEastAsia" w:hAnsiTheme="minorEastAsia"/>
          <w:b/>
          <w:bCs/>
          <w:sz w:val="24"/>
          <w:szCs w:val="24"/>
        </w:rPr>
        <w:t>第七条：</w:t>
      </w:r>
      <w:r>
        <w:rPr>
          <w:rFonts w:hint="eastAsia" w:cs="仿宋" w:asciiTheme="minorEastAsia" w:hAnsiTheme="minorEastAsia"/>
          <w:sz w:val="24"/>
          <w:szCs w:val="24"/>
        </w:rPr>
        <w:t>若供应链尽职调查的内容并未完全满足，且被评估的供应商正在积极配合的情况下，该供应链尽职调查结果得出以下结论，则可继续该矿产银、原料银的冶炼，并要求供应商在6个月之内提供可证明其并不存在以下事项的额外数据或信息。若在6个月之内仍未提供相关证据，则需立即停止该交易并上报风险合规专员：</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1.并未完成供应链尽职调查全部内容；</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2.向非法的公共或私人安全部队提供直接或间接支持；</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3.贿赂或非欺诈原因而误导矿产银、再生银的原产地；</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4.未向政府缴纳应缴税费。</w:t>
      </w:r>
    </w:p>
    <w:p>
      <w:pPr>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Chapter 2 Risk Mitigation Strategies</w:t>
      </w:r>
    </w:p>
    <w:p>
      <w:pPr>
        <w:ind w:firstLine="482" w:firstLineChars="200"/>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 xml:space="preserve">Article 4: </w:t>
      </w:r>
      <w:r>
        <w:rPr>
          <w:rFonts w:hint="eastAsia" w:ascii="宋体" w:hAnsi="宋体" w:eastAsia="宋体" w:cs="宋体"/>
          <w:kern w:val="0"/>
          <w:sz w:val="24"/>
          <w:szCs w:val="24"/>
          <w:lang w:val="en-US" w:eastAsia="zh-CN" w:bidi="ar"/>
        </w:rPr>
        <w:t xml:space="preserve">Risk Reporting Process: All information collected during the due diligence process of the supply chain, as well as actual and potential risks identified through evaluation, must be reported to the Compliance Risk Officer. The Compliance Risk Officer will then organize and plan risk mitigation strategies before reporting to the Compliance Director. </w:t>
      </w:r>
    </w:p>
    <w:p>
      <w:pPr>
        <w:ind w:firstLine="482" w:firstLineChars="200"/>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Article 5</w:t>
      </w:r>
      <w:r>
        <w:rPr>
          <w:rFonts w:hint="eastAsia" w:ascii="宋体" w:hAnsi="宋体" w:eastAsia="宋体" w:cs="宋体"/>
          <w:kern w:val="0"/>
          <w:sz w:val="24"/>
          <w:szCs w:val="24"/>
          <w:lang w:val="en-US" w:eastAsia="zh-CN" w:bidi="ar"/>
        </w:rPr>
        <w:t xml:space="preserve">:Risk mitigation strategy: If the supply chain due diligence results in the following conclusions, the transaction must be immediately stopped and reported to relevant personnel: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1. There are systematic or widespread human rights violations related to the extraction, transportation, or trade of mineral silver and recycled silver, including the most serious forms of child labor, torture, inhumane and degrading treatment, widespread sexual violence or other serious human rights violations such as forced or compulsory labor, war crimes, crimes against humanity, or genocide;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2. Providing direct or indirect support to illegal non-governmental armed organizations;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3. Direct or indirect support from public or private security forces engaged in illegal taxation or extortion;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4. The existence of fraudulent concealment of the origin of mineral silver and recycled silver;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5. There is money laundering or terrorist financing;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6. Small mines with incomplete domestic procedures, illegal mining, and silver mining sourced from manual mining;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7. Fraudulent and untrue statements regarding bribery and mineral origin;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8. Failure to comply with environmental and sustainable development laws, mining silver from World Heritage sites or domestic ecological nature reserves;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9. Soil erosion, soil erosion, and desertification caused by the development of mineral resources; Ground cracking, subsidence, collapse, mountain collapse, landslides, mudslides and other geological disasters;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10. There is pollution of water, soil, and air caused by the discharge of waste residue, wastewater, and exhaust gas; Destruction of wildlife and plant resources, as well as natural geological and geomorphological landscapes, endangering citizen health and property damage;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11. There are situations where the above 11 items are highly likely to occur. </w:t>
      </w:r>
    </w:p>
    <w:p>
      <w:pPr>
        <w:ind w:firstLine="482" w:firstLineChars="200"/>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Article 6</w:t>
      </w:r>
      <w:r>
        <w:rPr>
          <w:rFonts w:hint="eastAsia" w:ascii="宋体" w:hAnsi="宋体" w:eastAsia="宋体" w:cs="宋体"/>
          <w:kern w:val="0"/>
          <w:sz w:val="24"/>
          <w:szCs w:val="24"/>
          <w:lang w:val="en-US" w:eastAsia="zh-CN" w:bidi="ar"/>
        </w:rPr>
        <w:t xml:space="preserve">: If the due diligence results of the supply chain reach the following conclusions, the smelting of the mineral silver and regenerated silver shall be immediately suspended until the supplier provides additional data or information within 6 months to prove that it is not possible to have the following issues. If no relevant evidence is provided within 6 months, the transaction must be immediately stopped and reported to the relevant personnel: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1. There may be systematic or widespread human rights violations related to the extraction, transportation, or trade of mineral silver and recycled silver, including the most serious forms of child labor, torture, inhumane and degrading treatment, widespread sexual violence or other serious human rights violations, war crimes, crimes against humanity, or genocide;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2. There may be direct or indirect support provided to illegal non-governmental armed organizations;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3. Direct or indirect support from public or private security forces engaged in illegal taxation or extortion;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4. There may be fraudulent concealment of the origin of mineral silver and recycled silver;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5. There may be money laundering or terrorist financing;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6. Small mines with incomplete domestic procedures, illegal mining, and silver mining originating from manual mining;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7. Fraudulent and untrue statements regarding bribery and mineral origin;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8. May not comply with environmental and sustainable development legal requirements, and extract silver from World Heritage sites or domestic ecological nature reserves;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9. Soil erosion, soil erosion, and desertification caused by the development of mineral resources; Ground cracking, subsidence, collapse, mountain collapse, landslides, mudslides and other geological disasters;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10. There is pollution of water, soil, and air caused by the discharge of waste residue, wastewater, and exhaust gas; Destruction of wildlife and plant resources, as well as natural geological and geomorphological landscapes, endangering citizen health and property damage;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11. There are situations where the above 11 items are highly likely to occur. </w:t>
      </w:r>
    </w:p>
    <w:p>
      <w:pPr>
        <w:ind w:firstLine="482" w:firstLineChars="200"/>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Article 7</w:t>
      </w:r>
      <w:r>
        <w:rPr>
          <w:rFonts w:hint="eastAsia" w:ascii="宋体" w:hAnsi="宋体" w:eastAsia="宋体" w:cs="宋体"/>
          <w:kern w:val="0"/>
          <w:sz w:val="24"/>
          <w:szCs w:val="24"/>
          <w:lang w:val="en-US" w:eastAsia="zh-CN" w:bidi="ar"/>
        </w:rPr>
        <w:t xml:space="preserve">: If the content of the supply chain due diligence is not fully met and the evaluated supplier is actively cooperating, and the due diligence results of the supply chain reach the following conclusions, the smelting of the mineral silver and raw material silver can continue, and the supplier is required to provide additional data or information within 6 months to prove that the following matters do not exist. If no relevant evidence is provided within 6 months, the transaction must be immediately stopped and reported to the Risk and Compliance Officer: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1. Not all due diligence on the supply chain has been completed;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2. Provide direct or indirect support to illegal public or private security forces;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3. Misleading the origin of mineral silver and recycled silver through bribery or non fraudulent reasons; </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 Failure to pay taxes and fees to the government.</w:t>
      </w:r>
    </w:p>
    <w:p>
      <w:pPr>
        <w:spacing w:line="360" w:lineRule="auto"/>
        <w:rPr>
          <w:rFonts w:hint="eastAsia" w:cs="仿宋" w:asciiTheme="minorEastAsia" w:hAnsiTheme="minorEastAsia"/>
          <w:sz w:val="24"/>
          <w:szCs w:val="24"/>
        </w:rPr>
      </w:pPr>
    </w:p>
    <w:p>
      <w:pPr>
        <w:spacing w:line="360" w:lineRule="auto"/>
        <w:jc w:val="center"/>
        <w:rPr>
          <w:rFonts w:cs="黑体" w:asciiTheme="minorEastAsia" w:hAnsiTheme="minorEastAsia"/>
          <w:b/>
          <w:sz w:val="24"/>
          <w:szCs w:val="24"/>
        </w:rPr>
      </w:pPr>
      <w:r>
        <w:rPr>
          <w:rFonts w:hint="eastAsia" w:cs="黑体" w:asciiTheme="minorEastAsia" w:hAnsiTheme="minorEastAsia"/>
          <w:b/>
          <w:sz w:val="28"/>
          <w:szCs w:val="24"/>
        </w:rPr>
        <w:t>第三章风险减缓策略具体计划</w:t>
      </w:r>
    </w:p>
    <w:p>
      <w:pPr>
        <w:spacing w:line="360" w:lineRule="auto"/>
        <w:ind w:firstLine="482" w:firstLineChars="200"/>
        <w:rPr>
          <w:rFonts w:cs="仿宋" w:asciiTheme="minorEastAsia" w:hAnsiTheme="minorEastAsia"/>
          <w:sz w:val="24"/>
          <w:szCs w:val="24"/>
        </w:rPr>
      </w:pPr>
      <w:r>
        <w:rPr>
          <w:rFonts w:hint="eastAsia" w:cs="仿宋" w:asciiTheme="minorEastAsia" w:hAnsiTheme="minorEastAsia"/>
          <w:b/>
          <w:bCs/>
          <w:sz w:val="24"/>
          <w:szCs w:val="24"/>
        </w:rPr>
        <w:t>第八条</w:t>
      </w:r>
      <w:r>
        <w:rPr>
          <w:rFonts w:hint="eastAsia" w:cs="仿宋" w:asciiTheme="minorEastAsia" w:hAnsiTheme="minorEastAsia"/>
          <w:sz w:val="24"/>
          <w:szCs w:val="24"/>
        </w:rPr>
        <w:t>若供应链尽职调查结果符合第五条款所述，则合规风险专员需立即组织相关合规专员召开专项会议，通报与该供应商解除合同关系，同时要求相关合规专员立即实施，并形成书面文件上报合规总监，审批后上报相关政府部门。</w:t>
      </w:r>
    </w:p>
    <w:p>
      <w:pPr>
        <w:spacing w:line="360" w:lineRule="auto"/>
        <w:ind w:firstLine="482" w:firstLineChars="200"/>
        <w:rPr>
          <w:rFonts w:cs="仿宋" w:asciiTheme="minorEastAsia" w:hAnsiTheme="minorEastAsia"/>
          <w:sz w:val="24"/>
          <w:szCs w:val="24"/>
        </w:rPr>
      </w:pPr>
      <w:r>
        <w:rPr>
          <w:rFonts w:hint="eastAsia" w:cs="仿宋" w:asciiTheme="minorEastAsia" w:hAnsiTheme="minorEastAsia"/>
          <w:b/>
          <w:bCs/>
          <w:sz w:val="24"/>
          <w:szCs w:val="24"/>
        </w:rPr>
        <w:t>第九条</w:t>
      </w:r>
      <w:r>
        <w:rPr>
          <w:rFonts w:hint="eastAsia" w:cs="仿宋" w:asciiTheme="minorEastAsia" w:hAnsiTheme="minorEastAsia"/>
          <w:sz w:val="24"/>
          <w:szCs w:val="24"/>
        </w:rPr>
        <w:t>若供应链尽职调查结果符合第六条款，则合规风险专员需立即组织相关合规专员召开专项会议，通报立即暂停使用该供应商提供的矿产银或再生银，直至其在6个月之内提供可供证明的额外数据或信息为止：</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1.提供证明不存在有关矿产银、再生银提取、运输或贸易的系统性或广泛人权侵犯行为的政府性文件，如供应商所在地相关公安或商务部门出具的合法性证明等；</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2.提供并未向非法武装组织提供直接或间接支持的证明文件；</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3.提供并未通过欺诈掩盖矿产银或再生银的原产地证明文件，如相关政府部门出具的原产地证明；</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4.提供不存在洗钱或恐怖主义融资的证明文件；</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5.提供国内小型矿山资质证明文件；</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6.提供环境和可持续发展相关方针政策、制度文件以及通过有关部门环评报告；</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由相关的合规专员负责收集以上所述额外数据或信息，并按时向合规风险专员汇报情况进展。若在6个月之内仍未提供相关证据，则需按第八条款实施。</w:t>
      </w:r>
    </w:p>
    <w:p>
      <w:pPr>
        <w:spacing w:line="360" w:lineRule="auto"/>
        <w:ind w:firstLine="482" w:firstLineChars="200"/>
        <w:rPr>
          <w:rFonts w:hint="eastAsia" w:cs="仿宋" w:asciiTheme="minorEastAsia" w:hAnsiTheme="minorEastAsia"/>
          <w:sz w:val="24"/>
          <w:szCs w:val="24"/>
        </w:rPr>
      </w:pPr>
      <w:r>
        <w:rPr>
          <w:rFonts w:hint="eastAsia" w:cs="仿宋" w:asciiTheme="minorEastAsia" w:hAnsiTheme="minorEastAsia"/>
          <w:b/>
          <w:bCs/>
          <w:sz w:val="24"/>
          <w:szCs w:val="24"/>
        </w:rPr>
        <w:t>第十条</w:t>
      </w:r>
      <w:r>
        <w:rPr>
          <w:rFonts w:hint="eastAsia" w:cs="仿宋" w:asciiTheme="minorEastAsia" w:hAnsiTheme="minorEastAsia"/>
          <w:sz w:val="24"/>
          <w:szCs w:val="24"/>
        </w:rPr>
        <w:t>若供应链尽职调查结果符合第七条款所述，则合规风险专员需立即组织相关合规专员召开专项会议，通报可继续使用该供应商提供的矿产银或再生银，直至其在6个月之内提供可供证明的额外数据或信息为止：</w:t>
      </w:r>
    </w:p>
    <w:p>
      <w:pPr>
        <w:spacing w:line="360" w:lineRule="auto"/>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1.配合完成该供应链尽职调查的内容；</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2.提供并未向非法的公共或私人安全部队提供直接或间接支持的证明文件；</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3.提供并未贿赂或非欺诈原因而误导矿产银或再生银的原产地证明文件，如相关政府部门出具的原产地证明；</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4.提供已向政府缴纳应缴税费的证明文件，如付款凭证。</w:t>
      </w:r>
    </w:p>
    <w:p>
      <w:p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由相关的合规专员负责收集以上所述额外数据或信息，并按时向合规风险专员汇报情况进展。若在6个月之内仍未提供相关证据，则需按第八条款实施。</w:t>
      </w:r>
    </w:p>
    <w:p>
      <w:pPr>
        <w:spacing w:line="360" w:lineRule="auto"/>
        <w:ind w:firstLine="482" w:firstLineChars="200"/>
        <w:rPr>
          <w:rFonts w:hint="eastAsia" w:cs="仿宋" w:asciiTheme="minorEastAsia" w:hAnsiTheme="minorEastAsia"/>
          <w:sz w:val="24"/>
          <w:szCs w:val="24"/>
        </w:rPr>
      </w:pPr>
      <w:r>
        <w:rPr>
          <w:rFonts w:hint="eastAsia" w:cs="仿宋" w:asciiTheme="minorEastAsia" w:hAnsiTheme="minorEastAsia"/>
          <w:b/>
          <w:bCs/>
          <w:sz w:val="24"/>
          <w:szCs w:val="24"/>
        </w:rPr>
        <w:t>风险缓解计划进展监控</w:t>
      </w:r>
      <w:r>
        <w:rPr>
          <w:rFonts w:hint="eastAsia" w:cs="仿宋" w:asciiTheme="minorEastAsia" w:hAnsiTheme="minorEastAsia"/>
          <w:sz w:val="24"/>
          <w:szCs w:val="24"/>
        </w:rPr>
        <w:t>：风险缓解计划实施后，相关的风控专员就供应商提供材料证据与反馈的过程进行记录，对供应商所提交的材料进行核实与审查，确保风险缓解计划进展与实施的有效性并记录。</w:t>
      </w:r>
    </w:p>
    <w:p>
      <w:pPr>
        <w:spacing w:line="360" w:lineRule="auto"/>
        <w:ind w:firstLine="482" w:firstLineChars="200"/>
        <w:rPr>
          <w:rFonts w:cs="仿宋" w:asciiTheme="minorEastAsia" w:hAnsiTheme="minorEastAsia"/>
          <w:sz w:val="24"/>
          <w:szCs w:val="24"/>
        </w:rPr>
      </w:pPr>
      <w:r>
        <w:rPr>
          <w:rFonts w:hint="eastAsia" w:cs="仿宋" w:asciiTheme="minorEastAsia" w:hAnsiTheme="minorEastAsia"/>
          <w:b/>
          <w:bCs/>
          <w:sz w:val="24"/>
          <w:szCs w:val="24"/>
        </w:rPr>
        <w:t>风险缓解策略实施再评估流程：</w:t>
      </w:r>
    </w:p>
    <w:p>
      <w:pPr>
        <w:numPr>
          <w:ilvl w:val="0"/>
          <w:numId w:val="1"/>
        </w:num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在违反第六条而立即暂停该矿产银、再生银的冶炼的情况下，供应商在6个月之内提供可证明其并不可能存在第六条事项的恢复正常合作，若在6个月之内仍未提供相关证明，则需立即停止该交易并上报至有关人员。</w:t>
      </w:r>
    </w:p>
    <w:p>
      <w:pPr>
        <w:numPr>
          <w:ilvl w:val="0"/>
          <w:numId w:val="1"/>
        </w:numP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在违反第七条供应链尽职调查的内容并未完全满足，但被评估的供应商正在积极配合的情况下，则可继续该矿产银、再生银的冶炼，但要求供应商在6个月之内提供可证明其并不存在第七条所列事项的额外数据或信息。若在6个月之内仍未提供相关证据，则需立即停止该交易并上报风险合规专员。</w:t>
      </w:r>
    </w:p>
    <w:p>
      <w:pPr>
        <w:jc w:val="center"/>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Chapter 3 Specific plan of risk mitigation strategy</w:t>
      </w:r>
    </w:p>
    <w:p>
      <w:pPr>
        <w:ind w:firstLine="482" w:firstLineChars="200"/>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 xml:space="preserve">Article 8: </w:t>
      </w:r>
      <w:r>
        <w:rPr>
          <w:rFonts w:hint="eastAsia" w:ascii="宋体" w:hAnsi="宋体" w:eastAsia="宋体" w:cs="宋体"/>
          <w:kern w:val="0"/>
          <w:sz w:val="24"/>
          <w:szCs w:val="24"/>
          <w:lang w:val="en-US" w:eastAsia="zh-CN" w:bidi="ar"/>
        </w:rPr>
        <w:t>If the due diligence results of the supply chain meet the requirements of Article 5, the compliance risk specialist shall immediately organize the relevant compliance specialist to hold a special meeting, report the termination of the contractual relationship with the supplier, and require the relevant compliance specialist to implement it immediately, form a written document and report it to the compliance Director, and report it to the relevant government department after approval.</w:t>
      </w:r>
    </w:p>
    <w:p>
      <w:pPr>
        <w:ind w:firstLine="482" w:firstLineChars="200"/>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Article 9:</w:t>
      </w:r>
      <w:r>
        <w:rPr>
          <w:rFonts w:hint="eastAsia" w:ascii="宋体" w:hAnsi="宋体" w:eastAsia="宋体" w:cs="宋体"/>
          <w:kern w:val="0"/>
          <w:sz w:val="24"/>
          <w:szCs w:val="24"/>
          <w:lang w:val="en-US" w:eastAsia="zh-CN" w:bidi="ar"/>
        </w:rPr>
        <w:t xml:space="preserve"> If the due diligence results of the supply chain comply with Article 6, the Compliance Risk Officer shall immediately organize a special meeting of the relevant compliance officer to inform the immediate suspension of the use of mineral silver or recycled silver provided by the supplier until it provides additional data or information that can be proved within 6 months:</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 Provide governmental documents that demonstrate the absence of systematic or widespread human rights violations related to the extraction, transportation or trade of mineral and recycled silver, such as legal certificates issued by the relevant public security or commercial authorities in the supplier's location;</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 Provide documentation that it does not provide direct or indirect support to illegal armed organizations;</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 Provide documents of origin that do not conceal mineral or recycled silver through fraud, such as certificates of origin issued by relevant government departments;</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 Provide documentation of the absence of money laundering or terrorist financing;</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 Provide domestic small mine qualification certification documents;</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 Provide environmental and sustainable development-related policies, institutional documents, and adopt environmental assessment reports of relevant departments;</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It is the responsibility of the relevant Compliance Officer to collect the additional data or information described above and report the progress to the Compliance Risk Officer on time. If the relevant evidence is not provided within 6 months, it shall be implemented in accordance with Article 8.</w:t>
      </w:r>
    </w:p>
    <w:p>
      <w:pPr>
        <w:ind w:firstLine="482" w:firstLineChars="200"/>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Article 10:</w:t>
      </w:r>
      <w:r>
        <w:rPr>
          <w:rFonts w:hint="eastAsia" w:ascii="宋体" w:hAnsi="宋体" w:eastAsia="宋体" w:cs="宋体"/>
          <w:kern w:val="0"/>
          <w:sz w:val="24"/>
          <w:szCs w:val="24"/>
          <w:lang w:val="en-US" w:eastAsia="zh-CN" w:bidi="ar"/>
        </w:rPr>
        <w:t xml:space="preserve"> If the due diligence results of the supply chain comply with Article 7, the Compliance Risk Officer shall immediately organize a special meeting of the relevant compliance officer to inform him of the continued use of mineral silver or recycled silver provided by the supplier until it provides additional data or information that can be proved within 6 months:</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 Cooperate with the completion of the supply chain due diligence;</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 Provide documentation that it has not provided direct or indirect support to illegal public or private security forces;</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 Provide proof of origin of mineral silver or recycled silver that is not misleading for reasons other than bribery or fraud, such as certificate of origin issued by relevant government departments;</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 Provide proof of payment of taxes to the government, such as payment vouchers.</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It is the responsibility of the relevant Compliance Officer to collect the additional data or information described above and report the progress to the Compliance Risk Officer on time. If the relevant evidence is not provided within 6 months, it shall be implemented in accordance with Article 8.</w:t>
      </w:r>
    </w:p>
    <w:p>
      <w:pPr>
        <w:ind w:firstLine="482" w:firstLineChars="200"/>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Monitoring the progress of the risk mitigation plan</w:t>
      </w:r>
      <w:r>
        <w:rPr>
          <w:rFonts w:hint="eastAsia" w:ascii="宋体" w:hAnsi="宋体" w:eastAsia="宋体" w:cs="宋体"/>
          <w:kern w:val="0"/>
          <w:sz w:val="24"/>
          <w:szCs w:val="24"/>
          <w:lang w:val="en-US" w:eastAsia="zh-CN" w:bidi="ar"/>
        </w:rPr>
        <w:t>: After the implementation of the risk mitigation plan, the relevant risk control specialist records the process of the supplier providing material evidence and feedback, verifies and reviews the materials submitted by the supplier, and ensures the effectiveness of the progress and implementation of the risk mitigation plan and records it.</w:t>
      </w:r>
    </w:p>
    <w:p>
      <w:pPr>
        <w:ind w:firstLine="482" w:firstLineChars="200"/>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Risk mitigation strategy implementation Reassessment process:</w:t>
      </w:r>
    </w:p>
    <w:p>
      <w:p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 In case of immediate suspension of the smelting of the mineral silver and recycled silver in violation of Article 6, the supplier shall, within 6 months, provide a normal cooperation that can prove that it is impossible to exist in Article 6, and if the relevant proof is not provided within 6 months, it shall immediately stop the transaction and report it to the relevant personnel.</w:t>
      </w:r>
    </w:p>
    <w:p>
      <w:pPr>
        <w:numPr>
          <w:numId w:val="0"/>
        </w:numPr>
        <w:ind w:firstLine="480" w:firstLineChars="20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2.In the case that the contents of the supply chain due diligence in violation of Article 7 are not fully satisfied, but the assessed supplier is actively cooperating, the smelting of the mineral silver or recycled silver may continue, but the supplier is required to provide additional data or information within six months to prove that it does not exist in the matters listed in Article 7. If no evidence is provided within 6 months, the transaction must be stopped immediately and reported to the Risk Compliance Officer.</w:t>
      </w:r>
    </w:p>
    <w:p>
      <w:pPr>
        <w:numPr>
          <w:numId w:val="0"/>
        </w:numPr>
        <w:ind w:firstLine="480" w:firstLineChars="200"/>
        <w:rPr>
          <w:rFonts w:hint="eastAsia" w:ascii="宋体" w:hAnsi="宋体" w:eastAsia="宋体" w:cs="宋体"/>
          <w:kern w:val="0"/>
          <w:sz w:val="24"/>
          <w:szCs w:val="24"/>
          <w:lang w:val="en-US" w:eastAsia="zh-CN" w:bidi="ar"/>
        </w:rPr>
      </w:pPr>
    </w:p>
    <w:p>
      <w:pPr>
        <w:spacing w:line="360" w:lineRule="auto"/>
        <w:jc w:val="center"/>
        <w:rPr>
          <w:rFonts w:cs="黑体" w:asciiTheme="minorEastAsia" w:hAnsiTheme="minorEastAsia"/>
          <w:b/>
          <w:sz w:val="24"/>
          <w:szCs w:val="24"/>
        </w:rPr>
      </w:pPr>
      <w:r>
        <w:rPr>
          <w:rFonts w:hint="eastAsia" w:cs="黑体" w:asciiTheme="minorEastAsia" w:hAnsiTheme="minorEastAsia"/>
          <w:b/>
          <w:sz w:val="28"/>
          <w:szCs w:val="24"/>
        </w:rPr>
        <w:t>第四章要求</w:t>
      </w:r>
    </w:p>
    <w:p>
      <w:pPr>
        <w:spacing w:line="360" w:lineRule="auto"/>
        <w:ind w:firstLine="482" w:firstLineChars="200"/>
        <w:rPr>
          <w:rFonts w:cs="仿宋" w:asciiTheme="minorEastAsia" w:hAnsiTheme="minorEastAsia"/>
          <w:sz w:val="24"/>
          <w:szCs w:val="24"/>
        </w:rPr>
      </w:pPr>
      <w:r>
        <w:rPr>
          <w:rFonts w:hint="eastAsia" w:cs="仿宋" w:asciiTheme="minorEastAsia" w:hAnsiTheme="minorEastAsia"/>
          <w:b/>
          <w:bCs/>
          <w:sz w:val="24"/>
          <w:szCs w:val="24"/>
        </w:rPr>
        <w:t>第十一条</w:t>
      </w:r>
      <w:r>
        <w:rPr>
          <w:rFonts w:hint="eastAsia" w:cs="仿宋" w:asciiTheme="minorEastAsia" w:hAnsiTheme="minorEastAsia"/>
          <w:sz w:val="24"/>
          <w:szCs w:val="24"/>
        </w:rPr>
        <w:t>要求公司员工、供应商和商业伙伴遵守上述管理办法，并采取必要措施来保障上述管理办法的贯彻落实。</w:t>
      </w:r>
    </w:p>
    <w:p>
      <w:pPr>
        <w:spacing w:line="360" w:lineRule="auto"/>
        <w:ind w:firstLine="482" w:firstLineChars="200"/>
        <w:rPr>
          <w:rFonts w:hint="eastAsia" w:cs="仿宋" w:asciiTheme="minorEastAsia" w:hAnsiTheme="minorEastAsia"/>
          <w:sz w:val="24"/>
          <w:szCs w:val="24"/>
        </w:rPr>
      </w:pPr>
      <w:r>
        <w:rPr>
          <w:rFonts w:hint="eastAsia" w:cs="仿宋" w:asciiTheme="minorEastAsia" w:hAnsiTheme="minorEastAsia"/>
          <w:b/>
          <w:bCs/>
          <w:sz w:val="24"/>
          <w:szCs w:val="24"/>
        </w:rPr>
        <w:t>第十二条</w:t>
      </w:r>
      <w:r>
        <w:rPr>
          <w:rFonts w:hint="eastAsia" w:cs="仿宋" w:asciiTheme="minorEastAsia" w:hAnsiTheme="minorEastAsia"/>
          <w:sz w:val="24"/>
          <w:szCs w:val="24"/>
        </w:rPr>
        <w:t>公司风险合规专员会定期与不定期就上述要求对供应商是否存在相关风险或违反相关条例进行抽查或调查，如发现相关违规行为，根据上述流程进行处理、记录，并提高风险评价。</w:t>
      </w:r>
    </w:p>
    <w:p>
      <w:pPr>
        <w:widowControl w:val="0"/>
        <w:numPr>
          <w:ilvl w:val="0"/>
          <w:numId w:val="0"/>
        </w:numPr>
        <w:jc w:val="center"/>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Chapter 4 Requirements</w:t>
      </w:r>
    </w:p>
    <w:p>
      <w:pPr>
        <w:widowControl w:val="0"/>
        <w:numPr>
          <w:ilvl w:val="0"/>
          <w:numId w:val="0"/>
        </w:numPr>
        <w:ind w:firstLine="482" w:firstLineChars="200"/>
        <w:jc w:val="both"/>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Article 11:</w:t>
      </w:r>
      <w:r>
        <w:rPr>
          <w:rFonts w:hint="eastAsia" w:ascii="宋体" w:hAnsi="宋体" w:eastAsia="宋体" w:cs="宋体"/>
          <w:kern w:val="0"/>
          <w:sz w:val="24"/>
          <w:szCs w:val="24"/>
          <w:lang w:val="en-US" w:eastAsia="zh-CN" w:bidi="ar"/>
        </w:rPr>
        <w:t xml:space="preserve"> Requires the Company's employees, suppliers and business partners to comply with the above management measures and take necessary measures to ensure the implementation of the above management measures.</w:t>
      </w:r>
    </w:p>
    <w:p>
      <w:pPr>
        <w:widowControl w:val="0"/>
        <w:numPr>
          <w:ilvl w:val="0"/>
          <w:numId w:val="0"/>
        </w:numPr>
        <w:ind w:firstLine="482" w:firstLineChars="200"/>
        <w:jc w:val="both"/>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Article 12</w:t>
      </w:r>
      <w:r>
        <w:rPr>
          <w:rFonts w:hint="eastAsia" w:ascii="宋体" w:hAnsi="宋体" w:eastAsia="宋体" w:cs="宋体"/>
          <w:kern w:val="0"/>
          <w:sz w:val="24"/>
          <w:szCs w:val="24"/>
          <w:lang w:val="en-US" w:eastAsia="zh-CN" w:bidi="ar"/>
        </w:rPr>
        <w:t xml:space="preserve"> :The company's risk compliance specialist will regularly and irregularly conduct spot checks or investigations on whether the supplier has relevant risks or violates relevant regulations in accordance with the above requirements. If the supplier finds relevant violations, it will handle and record them according to the above procedures and improve the risk assessment.</w:t>
      </w:r>
    </w:p>
    <w:p>
      <w:pPr>
        <w:spacing w:line="360" w:lineRule="auto"/>
        <w:ind w:firstLine="480" w:firstLineChars="200"/>
        <w:rPr>
          <w:rFonts w:hint="eastAsia" w:cs="仿宋" w:asciiTheme="minorEastAsia" w:hAnsiTheme="minorEastAsia"/>
          <w:sz w:val="24"/>
          <w:szCs w:val="24"/>
        </w:rPr>
      </w:pPr>
    </w:p>
    <w:p>
      <w:pPr>
        <w:spacing w:line="360" w:lineRule="auto"/>
        <w:jc w:val="center"/>
        <w:rPr>
          <w:rFonts w:cs="黑体" w:asciiTheme="minorEastAsia" w:hAnsiTheme="minorEastAsia"/>
          <w:b/>
          <w:sz w:val="24"/>
          <w:szCs w:val="24"/>
        </w:rPr>
      </w:pPr>
      <w:r>
        <w:rPr>
          <w:rFonts w:hint="eastAsia" w:cs="黑体" w:asciiTheme="minorEastAsia" w:hAnsiTheme="minorEastAsia"/>
          <w:b/>
          <w:sz w:val="28"/>
          <w:szCs w:val="24"/>
        </w:rPr>
        <w:t>第五章附则</w:t>
      </w:r>
    </w:p>
    <w:p>
      <w:pPr>
        <w:spacing w:line="360" w:lineRule="auto"/>
        <w:ind w:firstLine="482" w:firstLineChars="200"/>
        <w:rPr>
          <w:rFonts w:cs="仿宋" w:asciiTheme="minorEastAsia" w:hAnsiTheme="minorEastAsia"/>
          <w:sz w:val="24"/>
          <w:szCs w:val="24"/>
        </w:rPr>
      </w:pPr>
      <w:r>
        <w:rPr>
          <w:rFonts w:hint="eastAsia" w:cs="仿宋" w:asciiTheme="minorEastAsia" w:hAnsiTheme="minorEastAsia"/>
          <w:b/>
          <w:bCs/>
          <w:sz w:val="24"/>
          <w:szCs w:val="24"/>
        </w:rPr>
        <w:t>第十三条</w:t>
      </w:r>
      <w:r>
        <w:rPr>
          <w:rFonts w:hint="eastAsia" w:cs="仿宋" w:asciiTheme="minorEastAsia" w:hAnsiTheme="minorEastAsia"/>
          <w:sz w:val="24"/>
          <w:szCs w:val="24"/>
        </w:rPr>
        <w:t>本管理办法自发布之日起实施。</w:t>
      </w:r>
    </w:p>
    <w:p>
      <w:pPr>
        <w:spacing w:line="360" w:lineRule="auto"/>
        <w:ind w:firstLine="482" w:firstLineChars="200"/>
        <w:rPr>
          <w:rFonts w:hint="eastAsia" w:cs="仿宋" w:asciiTheme="minorEastAsia" w:hAnsiTheme="minorEastAsia"/>
          <w:sz w:val="24"/>
          <w:szCs w:val="24"/>
        </w:rPr>
      </w:pPr>
      <w:r>
        <w:rPr>
          <w:rFonts w:hint="eastAsia" w:cs="仿宋" w:asciiTheme="minorEastAsia" w:hAnsiTheme="minorEastAsia"/>
          <w:b/>
          <w:bCs/>
          <w:sz w:val="24"/>
          <w:szCs w:val="24"/>
        </w:rPr>
        <w:t>第十四条</w:t>
      </w:r>
      <w:r>
        <w:rPr>
          <w:rFonts w:hint="eastAsia" w:cs="仿宋" w:asciiTheme="minorEastAsia" w:hAnsiTheme="minorEastAsia"/>
          <w:sz w:val="24"/>
          <w:szCs w:val="24"/>
        </w:rPr>
        <w:t>本管理办法风控部负责解释。</w:t>
      </w:r>
    </w:p>
    <w:p>
      <w:pPr>
        <w:widowControl w:val="0"/>
        <w:numPr>
          <w:ilvl w:val="0"/>
          <w:numId w:val="0"/>
        </w:numPr>
        <w:jc w:val="center"/>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Chapter 5 Supplementary Provisions</w:t>
      </w:r>
    </w:p>
    <w:p>
      <w:pPr>
        <w:widowControl w:val="0"/>
        <w:numPr>
          <w:ilvl w:val="0"/>
          <w:numId w:val="0"/>
        </w:numPr>
        <w:ind w:firstLine="482" w:firstLineChars="200"/>
        <w:jc w:val="both"/>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Article 13:</w:t>
      </w:r>
      <w:r>
        <w:rPr>
          <w:rFonts w:hint="eastAsia" w:ascii="宋体" w:hAnsi="宋体" w:eastAsia="宋体" w:cs="宋体"/>
          <w:kern w:val="0"/>
          <w:sz w:val="24"/>
          <w:szCs w:val="24"/>
          <w:lang w:val="en-US" w:eastAsia="zh-CN" w:bidi="ar"/>
        </w:rPr>
        <w:t xml:space="preserve"> These administrative measures shall be implemented as of the date of promulgation.</w:t>
      </w:r>
    </w:p>
    <w:p>
      <w:pPr>
        <w:widowControl w:val="0"/>
        <w:numPr>
          <w:ilvl w:val="0"/>
          <w:numId w:val="0"/>
        </w:numPr>
        <w:ind w:firstLine="482" w:firstLineChars="200"/>
        <w:jc w:val="both"/>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Article 14</w:t>
      </w:r>
      <w:r>
        <w:rPr>
          <w:rFonts w:hint="eastAsia" w:ascii="宋体" w:hAnsi="宋体" w:eastAsia="宋体" w:cs="宋体"/>
          <w:kern w:val="0"/>
          <w:sz w:val="24"/>
          <w:szCs w:val="24"/>
          <w:lang w:val="en-US" w:eastAsia="zh-CN" w:bidi="ar"/>
        </w:rPr>
        <w:t xml:space="preserve"> :The Risk control Department shall be responsible for the interpretation of these management measures.</w:t>
      </w:r>
    </w:p>
    <w:p>
      <w:pPr>
        <w:spacing w:line="360" w:lineRule="auto"/>
        <w:ind w:firstLine="480" w:firstLineChars="200"/>
        <w:rPr>
          <w:rFonts w:hint="eastAsia" w:cs="仿宋" w:asciiTheme="minorEastAsia" w:hAnsiTheme="minorEastAsia"/>
          <w:sz w:val="24"/>
          <w:szCs w:val="24"/>
        </w:rPr>
      </w:pPr>
    </w:p>
    <w:p>
      <w:pPr>
        <w:spacing w:line="360" w:lineRule="auto"/>
        <w:ind w:firstLine="480" w:firstLineChars="200"/>
        <w:rPr>
          <w:rFonts w:hint="eastAsia" w:cs="仿宋" w:asciiTheme="minorEastAsia" w:hAnsiTheme="minorEastAsia"/>
          <w:sz w:val="24"/>
          <w:szCs w:val="24"/>
        </w:rPr>
      </w:pPr>
    </w:p>
    <w:p>
      <w:pPr>
        <w:spacing w:line="360" w:lineRule="auto"/>
        <w:ind w:firstLine="480" w:firstLineChars="200"/>
        <w:rPr>
          <w:rFonts w:hint="eastAsia" w:cs="仿宋" w:asciiTheme="minorEastAsia" w:hAnsiTheme="minorEastAsia"/>
          <w:sz w:val="24"/>
          <w:szCs w:val="24"/>
        </w:rPr>
      </w:pPr>
      <w:bookmarkStart w:id="2" w:name="_GoBack"/>
      <w:bookmarkEnd w:id="2"/>
    </w:p>
    <w:p>
      <w:pPr>
        <w:widowControl/>
        <w:spacing w:before="150" w:after="150"/>
        <w:ind w:firstLine="6090" w:firstLineChars="2900"/>
        <w:jc w:val="left"/>
        <w:rPr>
          <w:rFonts w:ascii="宋体" w:hAnsi="宋体" w:eastAsia="宋体" w:cs="宋体"/>
          <w:kern w:val="0"/>
          <w:szCs w:val="21"/>
        </w:rPr>
      </w:pPr>
      <w:r>
        <w:rPr>
          <w:rFonts w:hint="eastAsia" w:ascii="宋体" w:hAnsi="宋体" w:eastAsia="宋体" w:cs="宋体"/>
          <w:kern w:val="0"/>
          <w:szCs w:val="21"/>
        </w:rPr>
        <w:t>岷山环能高科股份</w:t>
      </w:r>
      <w:r>
        <w:rPr>
          <w:rFonts w:ascii="宋体" w:hAnsi="宋体" w:eastAsia="宋体" w:cs="宋体"/>
          <w:kern w:val="0"/>
          <w:szCs w:val="21"/>
        </w:rPr>
        <w:t xml:space="preserve">公司 </w:t>
      </w:r>
    </w:p>
    <w:p>
      <w:pPr>
        <w:widowControl/>
        <w:spacing w:before="150" w:after="150"/>
        <w:ind w:firstLine="3360" w:firstLineChars="160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MINSHAN  ENVIRONMENTAL ENERGY HIGH TECH CO., LTD.</w:t>
      </w:r>
    </w:p>
    <w:p>
      <w:pPr>
        <w:widowControl/>
        <w:spacing w:before="150" w:after="150"/>
        <w:ind w:firstLine="6720" w:firstLineChars="3200"/>
        <w:jc w:val="left"/>
        <w:rPr>
          <w:rFonts w:ascii="宋体" w:hAnsi="宋体" w:eastAsia="宋体" w:cs="宋体"/>
          <w:kern w:val="0"/>
          <w:szCs w:val="21"/>
        </w:rPr>
      </w:pPr>
      <w:r>
        <w:rPr>
          <w:rFonts w:ascii="宋体" w:hAnsi="宋体" w:eastAsia="宋体" w:cs="宋体"/>
          <w:kern w:val="0"/>
          <w:szCs w:val="21"/>
        </w:rPr>
        <w:t>202</w:t>
      </w:r>
      <w:r>
        <w:rPr>
          <w:rFonts w:hint="eastAsia" w:ascii="宋体" w:hAnsi="宋体" w:eastAsia="宋体" w:cs="宋体"/>
          <w:kern w:val="0"/>
          <w:szCs w:val="21"/>
          <w:lang w:val="en-US" w:eastAsia="zh-CN"/>
        </w:rPr>
        <w:t>4</w:t>
      </w:r>
      <w:r>
        <w:rPr>
          <w:rFonts w:ascii="宋体" w:hAnsi="宋体" w:eastAsia="宋体" w:cs="宋体"/>
          <w:kern w:val="0"/>
          <w:szCs w:val="21"/>
        </w:rPr>
        <w:t>年</w:t>
      </w:r>
      <w:r>
        <w:rPr>
          <w:rFonts w:hint="eastAsia" w:ascii="宋体" w:hAnsi="宋体" w:eastAsia="宋体" w:cs="宋体"/>
          <w:kern w:val="0"/>
          <w:szCs w:val="21"/>
          <w:lang w:val="en-US" w:eastAsia="zh-CN"/>
        </w:rPr>
        <w:t>3</w:t>
      </w:r>
      <w:r>
        <w:rPr>
          <w:rFonts w:ascii="宋体" w:hAnsi="宋体" w:eastAsia="宋体" w:cs="宋体"/>
          <w:kern w:val="0"/>
          <w:szCs w:val="21"/>
        </w:rPr>
        <w:t>月</w:t>
      </w:r>
      <w:r>
        <w:rPr>
          <w:rFonts w:hint="eastAsia" w:ascii="宋体" w:hAnsi="宋体" w:eastAsia="宋体" w:cs="宋体"/>
          <w:kern w:val="0"/>
          <w:szCs w:val="21"/>
          <w:lang w:val="en-US" w:eastAsia="zh-CN"/>
        </w:rPr>
        <w:t>11</w:t>
      </w:r>
      <w:r>
        <w:rPr>
          <w:rFonts w:ascii="宋体" w:hAnsi="宋体" w:eastAsia="宋体" w:cs="宋体"/>
          <w:kern w:val="0"/>
          <w:szCs w:val="21"/>
        </w:rPr>
        <w:t xml:space="preserve">日 </w:t>
      </w:r>
    </w:p>
    <w:p>
      <w:pPr>
        <w:widowControl/>
        <w:spacing w:before="150" w:after="150"/>
        <w:ind w:firstLine="6930" w:firstLineChars="3300"/>
        <w:jc w:val="left"/>
        <w:rPr>
          <w:rFonts w:ascii="宋体" w:hAnsi="宋体" w:eastAsia="宋体" w:cs="宋体"/>
          <w:kern w:val="0"/>
          <w:szCs w:val="21"/>
        </w:rPr>
      </w:pPr>
      <w:r>
        <w:rPr>
          <w:rFonts w:hint="default" w:ascii="宋体" w:hAnsi="宋体" w:eastAsia="宋体" w:cs="宋体"/>
          <w:kern w:val="0"/>
          <w:szCs w:val="21"/>
          <w:lang w:val="en-US" w:eastAsia="zh-CN"/>
        </w:rPr>
        <w:t>March 11, 2024</w:t>
      </w:r>
      <w:r>
        <w:rPr>
          <w:rFonts w:hint="default" w:ascii="宋体" w:hAnsi="宋体" w:eastAsia="宋体" w:cs="宋体"/>
          <w:kern w:val="0"/>
          <w:szCs w:val="21"/>
        </w:rPr>
        <w:t xml:space="preserve"> </w:t>
      </w:r>
    </w:p>
    <w:p>
      <w:pPr>
        <w:spacing w:line="360" w:lineRule="auto"/>
        <w:ind w:firstLine="480" w:firstLineChars="200"/>
        <w:rPr>
          <w:rFonts w:hint="eastAsia" w:cs="仿宋" w:asciiTheme="minorEastAsia" w:hAnsiTheme="minorEastAsia"/>
          <w:sz w:val="24"/>
          <w:szCs w:val="24"/>
        </w:rPr>
      </w:pPr>
    </w:p>
    <w:p>
      <w:pPr>
        <w:spacing w:line="360" w:lineRule="auto"/>
        <w:ind w:firstLine="480" w:firstLineChars="200"/>
        <w:rPr>
          <w:rFonts w:cs="仿宋" w:asciiTheme="minorEastAsia" w:hAnsiTheme="minorEastAsia"/>
          <w:sz w:val="24"/>
          <w:szCs w:val="24"/>
        </w:rPr>
      </w:pPr>
    </w:p>
    <w:p>
      <w:pPr>
        <w:widowControl w:val="0"/>
        <w:numPr>
          <w:ilvl w:val="0"/>
          <w:numId w:val="0"/>
        </w:numPr>
        <w:jc w:val="both"/>
        <w:rPr>
          <w:rFonts w:hint="eastAsia" w:ascii="宋体" w:hAnsi="宋体" w:eastAsia="宋体" w:cs="宋体"/>
          <w:kern w:val="0"/>
          <w:sz w:val="24"/>
          <w:szCs w:val="24"/>
          <w:lang w:val="en-US" w:eastAsia="zh-CN" w:bidi="ar"/>
        </w:rPr>
      </w:pPr>
    </w:p>
    <w:p>
      <w:pPr>
        <w:rPr>
          <w:rFonts w:asciiTheme="minorEastAsia" w:hAnsiTheme="minorEastAsia"/>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Text Box 1026" o:spid="_x0000_s2049" o:spt="202" type="#_x0000_t202" style="position:absolute;left:0pt;margin-top:0pt;height:17.1pt;width:7.1pt;mso-position-horizontal:outside;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">
          <v:path/>
          <v:fill on="f" focussize="0,0"/>
          <v:stroke on="f" joinstyle="miter"/>
          <v:imagedata o:title=""/>
          <o:lock v:ext="edit"/>
          <v:textbox inset="0mm,0mm,0mm,0mm" style="mso-fit-shape-to-text:t;">
            <w:txbxContent>
              <w:p>
                <w:pPr>
                  <w:pStyle w:val="2"/>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w:t>
                </w:r>
                <w:r>
                  <w:rPr>
                    <w:rFonts w:hint="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C29F32"/>
    <w:multiLevelType w:val="singleLevel"/>
    <w:tmpl w:val="7AC29F3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hkYTMwOWYxOTQ3MTcxNWNjMjMwODhhZDUyYzk0Y2IifQ=="/>
  </w:docVars>
  <w:rsids>
    <w:rsidRoot w:val="1F6267E0"/>
    <w:rsid w:val="0009419F"/>
    <w:rsid w:val="001679B6"/>
    <w:rsid w:val="002A5433"/>
    <w:rsid w:val="002C1C47"/>
    <w:rsid w:val="002D22AC"/>
    <w:rsid w:val="004106DE"/>
    <w:rsid w:val="00473D0F"/>
    <w:rsid w:val="004E0BD8"/>
    <w:rsid w:val="00735A39"/>
    <w:rsid w:val="007458EC"/>
    <w:rsid w:val="008F3C3D"/>
    <w:rsid w:val="00C25E73"/>
    <w:rsid w:val="00D570BB"/>
    <w:rsid w:val="00D67FB5"/>
    <w:rsid w:val="00D911A3"/>
    <w:rsid w:val="00E301D1"/>
    <w:rsid w:val="00E92986"/>
    <w:rsid w:val="00EF2A80"/>
    <w:rsid w:val="00EF6B7C"/>
    <w:rsid w:val="00F03E28"/>
    <w:rsid w:val="00FD6E9D"/>
    <w:rsid w:val="153E4ECB"/>
    <w:rsid w:val="1E1B0ED5"/>
    <w:rsid w:val="1F6267E0"/>
    <w:rsid w:val="47954658"/>
    <w:rsid w:val="52DC0984"/>
    <w:rsid w:val="5CB143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445</Words>
  <Characters>2539</Characters>
  <Lines>21</Lines>
  <Paragraphs>5</Paragraphs>
  <TotalTime>0</TotalTime>
  <ScaleCrop>false</ScaleCrop>
  <LinksUpToDate>false</LinksUpToDate>
  <CharactersWithSpaces>2979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2021-08-24T13:44:00Z</dcterms:created>
  <dc:creator>Qoo~~</dc:creator>
  <cp:lastModifiedBy>明</cp:lastModifiedBy>
  <dcterms:modified xsi:type="dcterms:W3CDTF">2024-04-16T05:47:08Z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2DC2638DA66D42E0BCC67C26788C2055</vt:lpwstr>
  </property>
</Properties>
</file>